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742" w:rsidRPr="009A5FDA" w:rsidRDefault="00393742" w:rsidP="009A5FDA">
      <w:pPr>
        <w:jc w:val="center"/>
        <w:rPr>
          <w:rFonts w:ascii="Verdana" w:hAnsi="Verdana"/>
          <w:b/>
          <w:sz w:val="17"/>
          <w:szCs w:val="17"/>
          <w:u w:val="single"/>
        </w:rPr>
      </w:pPr>
      <w:r w:rsidRPr="009A5FDA">
        <w:rPr>
          <w:rFonts w:ascii="Verdana" w:hAnsi="Verdana"/>
          <w:b/>
          <w:sz w:val="17"/>
          <w:szCs w:val="17"/>
          <w:u w:val="single"/>
        </w:rPr>
        <w:t>FAMILIARISATION PROGRAMME FOR INDEPENDENT DIRECTORS</w:t>
      </w:r>
    </w:p>
    <w:p w:rsidR="00393742" w:rsidRPr="00653505" w:rsidRDefault="00393742" w:rsidP="003306D8">
      <w:pPr>
        <w:jc w:val="both"/>
        <w:rPr>
          <w:rFonts w:ascii="Verdana" w:hAnsi="Verdana"/>
          <w:b/>
          <w:sz w:val="17"/>
          <w:szCs w:val="17"/>
        </w:rPr>
      </w:pPr>
      <w:r w:rsidRPr="00653505">
        <w:rPr>
          <w:rFonts w:ascii="Verdana" w:hAnsi="Verdana"/>
          <w:b/>
          <w:sz w:val="17"/>
          <w:szCs w:val="17"/>
        </w:rPr>
        <w:t xml:space="preserve"> OBJECTIVES:</w:t>
      </w:r>
    </w:p>
    <w:p w:rsidR="00393742" w:rsidRPr="00653505" w:rsidRDefault="00393742" w:rsidP="003306D8">
      <w:pPr>
        <w:jc w:val="both"/>
        <w:rPr>
          <w:rFonts w:ascii="Verdana" w:hAnsi="Verdana"/>
          <w:sz w:val="17"/>
          <w:szCs w:val="17"/>
        </w:rPr>
      </w:pPr>
      <w:r w:rsidRPr="00653505">
        <w:rPr>
          <w:rFonts w:ascii="Verdana" w:hAnsi="Verdana"/>
          <w:sz w:val="17"/>
          <w:szCs w:val="17"/>
        </w:rPr>
        <w:t xml:space="preserve">To adopt a structured </w:t>
      </w:r>
      <w:proofErr w:type="spellStart"/>
      <w:r w:rsidRPr="00653505">
        <w:rPr>
          <w:rFonts w:ascii="Verdana" w:hAnsi="Verdana"/>
          <w:sz w:val="17"/>
          <w:szCs w:val="17"/>
        </w:rPr>
        <w:t>programme</w:t>
      </w:r>
      <w:proofErr w:type="spellEnd"/>
      <w:r w:rsidRPr="00653505">
        <w:rPr>
          <w:rFonts w:ascii="Verdana" w:hAnsi="Verdana"/>
          <w:sz w:val="17"/>
          <w:szCs w:val="17"/>
        </w:rPr>
        <w:t xml:space="preserve"> for orientation and familiarization of Independent Directors at the time of their joining, so as to enable them to understand the Company, its operations, business, industry and environment in which it functions and the regulatory environment applicable to it.</w:t>
      </w:r>
    </w:p>
    <w:p w:rsidR="00393742" w:rsidRPr="00653505" w:rsidRDefault="00393742" w:rsidP="003306D8">
      <w:pPr>
        <w:jc w:val="both"/>
        <w:rPr>
          <w:rFonts w:ascii="Verdana" w:hAnsi="Verdana"/>
          <w:sz w:val="17"/>
          <w:szCs w:val="17"/>
        </w:rPr>
      </w:pPr>
      <w:r w:rsidRPr="00653505">
        <w:rPr>
          <w:rFonts w:ascii="Verdana" w:hAnsi="Verdana"/>
          <w:sz w:val="17"/>
          <w:szCs w:val="17"/>
        </w:rPr>
        <w:t xml:space="preserve"> </w:t>
      </w:r>
      <w:proofErr w:type="gramStart"/>
      <w:r w:rsidRPr="00653505">
        <w:rPr>
          <w:rFonts w:ascii="Verdana" w:hAnsi="Verdana"/>
          <w:sz w:val="17"/>
          <w:szCs w:val="17"/>
        </w:rPr>
        <w:t>To update the Independent Directors on a continuing basis on any significant changes in any of the above, to enable them to be in a position to take well informed and timely decisions.</w:t>
      </w:r>
      <w:proofErr w:type="gramEnd"/>
    </w:p>
    <w:p w:rsidR="00653505" w:rsidRPr="00653505" w:rsidRDefault="00393742" w:rsidP="003306D8">
      <w:pPr>
        <w:jc w:val="both"/>
        <w:rPr>
          <w:rFonts w:ascii="Verdana" w:hAnsi="Verdana"/>
          <w:b/>
          <w:sz w:val="17"/>
          <w:szCs w:val="17"/>
        </w:rPr>
      </w:pPr>
      <w:r w:rsidRPr="00653505">
        <w:rPr>
          <w:rFonts w:ascii="Verdana" w:hAnsi="Verdana"/>
          <w:b/>
          <w:sz w:val="17"/>
          <w:szCs w:val="17"/>
        </w:rPr>
        <w:t>ORIENTATION PROGRAMME UPON INDUCTION OF NEW DIRECTORS:</w:t>
      </w:r>
    </w:p>
    <w:p w:rsidR="00393742" w:rsidRPr="00653505" w:rsidRDefault="00393742" w:rsidP="003306D8">
      <w:pPr>
        <w:jc w:val="both"/>
        <w:rPr>
          <w:rFonts w:ascii="Verdana" w:hAnsi="Verdana"/>
          <w:b/>
          <w:sz w:val="17"/>
          <w:szCs w:val="17"/>
        </w:rPr>
      </w:pPr>
      <w:r w:rsidRPr="00653505">
        <w:rPr>
          <w:rFonts w:ascii="Verdana" w:hAnsi="Verdana"/>
          <w:sz w:val="17"/>
          <w:szCs w:val="17"/>
        </w:rPr>
        <w:t xml:space="preserve">An Induction pack is handed over to a new inductee on the Company’s Board. This includes the Company’s Corporate Profile, its Mission, Vision and Values Statement, Organizational structure, the latest Annual Report, Code of Conduct applicable to Directors / employees of the Company, the ‘Code of Conduct for Prevention of Insider Trading and Code of Corporate Disclosure Practices’ and the Whistle Blower Policy of the Company. In case the inductee is also inducted on the Committees, the inductee is also provided with the mandates of the respective Committees of the Board. </w:t>
      </w:r>
    </w:p>
    <w:p w:rsidR="00393742" w:rsidRPr="00653505" w:rsidRDefault="00393742" w:rsidP="003306D8">
      <w:pPr>
        <w:jc w:val="both"/>
        <w:rPr>
          <w:rFonts w:ascii="Verdana" w:hAnsi="Verdana"/>
          <w:sz w:val="17"/>
          <w:szCs w:val="17"/>
        </w:rPr>
      </w:pPr>
      <w:r w:rsidRPr="00653505">
        <w:rPr>
          <w:rFonts w:ascii="Verdana" w:hAnsi="Verdana"/>
          <w:sz w:val="17"/>
          <w:szCs w:val="17"/>
        </w:rPr>
        <w:t xml:space="preserve">A detailed Appointment Letter incorporating the role, duties and responsibilities, remuneration and performance evaluation process, insurance cover, Code of Conduct and obligations on disclosures, is issued for the acceptance of the Independent Directors. </w:t>
      </w:r>
    </w:p>
    <w:p w:rsidR="00393742" w:rsidRPr="00653505" w:rsidRDefault="00393742" w:rsidP="003306D8">
      <w:pPr>
        <w:jc w:val="both"/>
        <w:rPr>
          <w:rFonts w:ascii="Verdana" w:hAnsi="Verdana"/>
          <w:sz w:val="17"/>
          <w:szCs w:val="17"/>
        </w:rPr>
      </w:pPr>
      <w:r w:rsidRPr="00653505">
        <w:rPr>
          <w:rFonts w:ascii="Verdana" w:hAnsi="Verdana"/>
          <w:sz w:val="17"/>
          <w:szCs w:val="17"/>
        </w:rPr>
        <w:t>The inductee is also introduced to the Business Heads and Corporate Functional Heads. This enables them to gain an understanding and appreciation of the operations of the Company.</w:t>
      </w:r>
    </w:p>
    <w:p w:rsidR="00393742" w:rsidRPr="00653505" w:rsidRDefault="00393742" w:rsidP="003306D8">
      <w:pPr>
        <w:jc w:val="both"/>
        <w:rPr>
          <w:rFonts w:ascii="Verdana" w:hAnsi="Verdana"/>
          <w:b/>
          <w:sz w:val="17"/>
          <w:szCs w:val="17"/>
        </w:rPr>
      </w:pPr>
      <w:r w:rsidRPr="00653505">
        <w:rPr>
          <w:rFonts w:ascii="Verdana" w:hAnsi="Verdana"/>
          <w:b/>
          <w:sz w:val="17"/>
          <w:szCs w:val="17"/>
        </w:rPr>
        <w:t xml:space="preserve"> OTHER INITIATIVES TO UPDATE THE DIRECTORS ON A CONTINUING BASIS:</w:t>
      </w:r>
    </w:p>
    <w:p w:rsidR="00393742" w:rsidRPr="00653505" w:rsidRDefault="00393742" w:rsidP="003306D8">
      <w:pPr>
        <w:jc w:val="both"/>
        <w:rPr>
          <w:rFonts w:ascii="Verdana" w:hAnsi="Verdana"/>
          <w:sz w:val="17"/>
          <w:szCs w:val="17"/>
        </w:rPr>
      </w:pPr>
      <w:r w:rsidRPr="00653505">
        <w:rPr>
          <w:rFonts w:ascii="Verdana" w:hAnsi="Verdana"/>
          <w:sz w:val="17"/>
          <w:szCs w:val="17"/>
        </w:rPr>
        <w:t xml:space="preserve">Once in a year at the Board Meeting, presentations are made to the Directors on the Company’s annual operating plan and medium term plan. </w:t>
      </w:r>
    </w:p>
    <w:p w:rsidR="00393742" w:rsidRPr="00653505" w:rsidRDefault="00393742" w:rsidP="003306D8">
      <w:pPr>
        <w:jc w:val="both"/>
        <w:rPr>
          <w:rFonts w:ascii="Verdana" w:hAnsi="Verdana"/>
          <w:sz w:val="17"/>
          <w:szCs w:val="17"/>
        </w:rPr>
      </w:pPr>
      <w:r w:rsidRPr="00653505">
        <w:rPr>
          <w:rFonts w:ascii="Verdana" w:hAnsi="Verdana"/>
          <w:sz w:val="17"/>
          <w:szCs w:val="17"/>
        </w:rPr>
        <w:t xml:space="preserve">At various Board Meetings during the year, presentations are made to the Board on Ethics and Sustainability issues, Risk Management, Company policies, changes in the regulatory environment applicable to the corporate sector and to the Industry in which the Company operates and other relevant issues. </w:t>
      </w:r>
    </w:p>
    <w:p w:rsidR="00393742" w:rsidRPr="00653505" w:rsidRDefault="00393742" w:rsidP="003306D8">
      <w:pPr>
        <w:jc w:val="both"/>
        <w:rPr>
          <w:rFonts w:ascii="Verdana" w:hAnsi="Verdana"/>
          <w:sz w:val="17"/>
          <w:szCs w:val="17"/>
        </w:rPr>
      </w:pPr>
      <w:r w:rsidRPr="00653505">
        <w:rPr>
          <w:rFonts w:ascii="Verdana" w:hAnsi="Verdana"/>
          <w:sz w:val="17"/>
          <w:szCs w:val="17"/>
        </w:rPr>
        <w:t xml:space="preserve">Quarterly presentations on operations made to the Board include information on business performance, operations, market share, financial parameters, working capital management, funds flow, senior management changes, major litigation, compliances, etc. </w:t>
      </w:r>
    </w:p>
    <w:p w:rsidR="00393742" w:rsidRPr="00653505" w:rsidRDefault="00393742" w:rsidP="003306D8">
      <w:pPr>
        <w:jc w:val="both"/>
        <w:rPr>
          <w:rFonts w:ascii="Verdana" w:hAnsi="Verdana"/>
          <w:sz w:val="17"/>
          <w:szCs w:val="17"/>
        </w:rPr>
      </w:pPr>
      <w:r w:rsidRPr="00653505">
        <w:rPr>
          <w:rFonts w:ascii="Verdana" w:hAnsi="Verdana"/>
          <w:sz w:val="17"/>
          <w:szCs w:val="17"/>
        </w:rPr>
        <w:t xml:space="preserve">Familiarization </w:t>
      </w:r>
      <w:proofErr w:type="spellStart"/>
      <w:r w:rsidRPr="00653505">
        <w:rPr>
          <w:rFonts w:ascii="Verdana" w:hAnsi="Verdana"/>
          <w:sz w:val="17"/>
          <w:szCs w:val="17"/>
        </w:rPr>
        <w:t>programmes</w:t>
      </w:r>
      <w:proofErr w:type="spellEnd"/>
      <w:r w:rsidRPr="00653505">
        <w:rPr>
          <w:rFonts w:ascii="Verdana" w:hAnsi="Verdana"/>
          <w:sz w:val="17"/>
          <w:szCs w:val="17"/>
        </w:rPr>
        <w:t xml:space="preserve"> organized by the Company d</w:t>
      </w:r>
      <w:r w:rsidR="00C74DCE">
        <w:rPr>
          <w:rFonts w:ascii="Verdana" w:hAnsi="Verdana"/>
          <w:sz w:val="17"/>
          <w:szCs w:val="17"/>
        </w:rPr>
        <w:t>uring the Financial Year 2019-20</w:t>
      </w:r>
      <w:r w:rsidRPr="00653505">
        <w:rPr>
          <w:rFonts w:ascii="Verdana" w:hAnsi="Verdana"/>
          <w:sz w:val="17"/>
          <w:szCs w:val="17"/>
        </w:rPr>
        <w:t xml:space="preserve"> and cumulative u</w:t>
      </w:r>
      <w:r w:rsidR="00C74DCE">
        <w:rPr>
          <w:rFonts w:ascii="Verdana" w:hAnsi="Verdana"/>
          <w:sz w:val="17"/>
          <w:szCs w:val="17"/>
        </w:rPr>
        <w:t>p to 31st March 2020</w:t>
      </w:r>
    </w:p>
    <w:tbl>
      <w:tblPr>
        <w:tblStyle w:val="TableGrid"/>
        <w:tblW w:w="0" w:type="auto"/>
        <w:tblLook w:val="04A0"/>
      </w:tblPr>
      <w:tblGrid>
        <w:gridCol w:w="3192"/>
        <w:gridCol w:w="3192"/>
        <w:gridCol w:w="3192"/>
      </w:tblGrid>
      <w:tr w:rsidR="00034308" w:rsidRPr="00653505" w:rsidTr="00034308">
        <w:tc>
          <w:tcPr>
            <w:tcW w:w="3192" w:type="dxa"/>
          </w:tcPr>
          <w:p w:rsidR="00034308" w:rsidRPr="00653505" w:rsidRDefault="00034308" w:rsidP="003306D8">
            <w:pPr>
              <w:jc w:val="both"/>
              <w:rPr>
                <w:rFonts w:ascii="Verdana" w:hAnsi="Verdana"/>
                <w:sz w:val="17"/>
                <w:szCs w:val="17"/>
              </w:rPr>
            </w:pPr>
            <w:r w:rsidRPr="00653505">
              <w:rPr>
                <w:rFonts w:ascii="Verdana" w:hAnsi="Verdana"/>
                <w:sz w:val="17"/>
                <w:szCs w:val="17"/>
              </w:rPr>
              <w:t>Particulars</w:t>
            </w:r>
          </w:p>
          <w:p w:rsidR="00034308" w:rsidRPr="00653505" w:rsidRDefault="00034308" w:rsidP="003306D8">
            <w:pPr>
              <w:jc w:val="both"/>
              <w:rPr>
                <w:rFonts w:ascii="Verdana" w:hAnsi="Verdana"/>
                <w:sz w:val="17"/>
                <w:szCs w:val="17"/>
              </w:rPr>
            </w:pPr>
          </w:p>
        </w:tc>
        <w:tc>
          <w:tcPr>
            <w:tcW w:w="3192" w:type="dxa"/>
          </w:tcPr>
          <w:p w:rsidR="00034308" w:rsidRPr="00653505" w:rsidRDefault="00034308" w:rsidP="003306D8">
            <w:pPr>
              <w:jc w:val="both"/>
              <w:rPr>
                <w:rFonts w:ascii="Verdana" w:hAnsi="Verdana"/>
                <w:sz w:val="17"/>
                <w:szCs w:val="17"/>
              </w:rPr>
            </w:pPr>
            <w:r w:rsidRPr="00653505">
              <w:rPr>
                <w:rFonts w:ascii="Verdana" w:hAnsi="Verdana"/>
                <w:sz w:val="17"/>
                <w:szCs w:val="17"/>
              </w:rPr>
              <w:t>During the Year 201</w:t>
            </w:r>
            <w:r w:rsidR="00C74DCE">
              <w:rPr>
                <w:rFonts w:ascii="Verdana" w:hAnsi="Verdana"/>
                <w:sz w:val="17"/>
                <w:szCs w:val="17"/>
              </w:rPr>
              <w:t>9-20</w:t>
            </w:r>
          </w:p>
        </w:tc>
        <w:tc>
          <w:tcPr>
            <w:tcW w:w="3192" w:type="dxa"/>
          </w:tcPr>
          <w:p w:rsidR="00034308" w:rsidRPr="00653505" w:rsidRDefault="00034308" w:rsidP="003306D8">
            <w:pPr>
              <w:jc w:val="both"/>
              <w:rPr>
                <w:rFonts w:ascii="Verdana" w:hAnsi="Verdana"/>
                <w:sz w:val="17"/>
                <w:szCs w:val="17"/>
              </w:rPr>
            </w:pPr>
            <w:r w:rsidRPr="00653505">
              <w:rPr>
                <w:rFonts w:ascii="Verdana" w:hAnsi="Verdana"/>
                <w:sz w:val="17"/>
                <w:szCs w:val="17"/>
              </w:rPr>
              <w:t>Cumulative up to 31st March 20</w:t>
            </w:r>
            <w:r w:rsidR="00C74DCE">
              <w:rPr>
                <w:rFonts w:ascii="Verdana" w:hAnsi="Verdana"/>
                <w:sz w:val="17"/>
                <w:szCs w:val="17"/>
              </w:rPr>
              <w:t>20</w:t>
            </w:r>
          </w:p>
        </w:tc>
      </w:tr>
      <w:tr w:rsidR="00034308" w:rsidRPr="00653505" w:rsidTr="00034308">
        <w:tc>
          <w:tcPr>
            <w:tcW w:w="3192" w:type="dxa"/>
          </w:tcPr>
          <w:p w:rsidR="00034308" w:rsidRPr="00653505" w:rsidRDefault="00034308" w:rsidP="003306D8">
            <w:pPr>
              <w:jc w:val="both"/>
              <w:rPr>
                <w:rFonts w:ascii="Verdana" w:hAnsi="Verdana"/>
                <w:sz w:val="17"/>
                <w:szCs w:val="17"/>
              </w:rPr>
            </w:pPr>
            <w:r w:rsidRPr="00653505">
              <w:rPr>
                <w:rFonts w:ascii="Verdana" w:hAnsi="Verdana"/>
                <w:sz w:val="17"/>
                <w:szCs w:val="17"/>
              </w:rPr>
              <w:t xml:space="preserve">Number of Familiarization </w:t>
            </w:r>
            <w:proofErr w:type="spellStart"/>
            <w:r w:rsidRPr="00653505">
              <w:rPr>
                <w:rFonts w:ascii="Verdana" w:hAnsi="Verdana"/>
                <w:sz w:val="17"/>
                <w:szCs w:val="17"/>
              </w:rPr>
              <w:t>programme</w:t>
            </w:r>
            <w:proofErr w:type="spellEnd"/>
            <w:r w:rsidRPr="00653505">
              <w:rPr>
                <w:rFonts w:ascii="Verdana" w:hAnsi="Verdana"/>
                <w:sz w:val="17"/>
                <w:szCs w:val="17"/>
              </w:rPr>
              <w:t xml:space="preserve"> organized by the Company, Including visits to Company facilities.</w:t>
            </w:r>
          </w:p>
        </w:tc>
        <w:tc>
          <w:tcPr>
            <w:tcW w:w="3192" w:type="dxa"/>
          </w:tcPr>
          <w:p w:rsidR="00034308" w:rsidRPr="00653505" w:rsidRDefault="00C74DCE" w:rsidP="003306D8">
            <w:pPr>
              <w:jc w:val="both"/>
              <w:rPr>
                <w:rFonts w:ascii="Verdana" w:hAnsi="Verdana"/>
                <w:sz w:val="17"/>
                <w:szCs w:val="17"/>
              </w:rPr>
            </w:pPr>
            <w:r>
              <w:rPr>
                <w:rFonts w:ascii="Verdana" w:hAnsi="Verdana"/>
                <w:sz w:val="17"/>
                <w:szCs w:val="17"/>
              </w:rPr>
              <w:t>1</w:t>
            </w:r>
          </w:p>
        </w:tc>
        <w:tc>
          <w:tcPr>
            <w:tcW w:w="3192" w:type="dxa"/>
          </w:tcPr>
          <w:p w:rsidR="00034308" w:rsidRPr="00653505" w:rsidRDefault="00C74DCE" w:rsidP="003306D8">
            <w:pPr>
              <w:jc w:val="both"/>
              <w:rPr>
                <w:rFonts w:ascii="Verdana" w:hAnsi="Verdana"/>
                <w:sz w:val="17"/>
                <w:szCs w:val="17"/>
              </w:rPr>
            </w:pPr>
            <w:r>
              <w:rPr>
                <w:rFonts w:ascii="Verdana" w:hAnsi="Verdana"/>
                <w:sz w:val="17"/>
                <w:szCs w:val="17"/>
              </w:rPr>
              <w:t>8</w:t>
            </w:r>
          </w:p>
        </w:tc>
      </w:tr>
      <w:tr w:rsidR="00034308" w:rsidRPr="00653505" w:rsidTr="00034308">
        <w:tc>
          <w:tcPr>
            <w:tcW w:w="3192" w:type="dxa"/>
          </w:tcPr>
          <w:p w:rsidR="00034308" w:rsidRPr="00653505" w:rsidRDefault="00034308" w:rsidP="003306D8">
            <w:pPr>
              <w:jc w:val="both"/>
              <w:rPr>
                <w:rFonts w:ascii="Verdana" w:hAnsi="Verdana"/>
                <w:sz w:val="17"/>
                <w:szCs w:val="17"/>
              </w:rPr>
            </w:pPr>
            <w:r w:rsidRPr="00653505">
              <w:rPr>
                <w:rFonts w:ascii="Verdana" w:hAnsi="Verdana"/>
                <w:sz w:val="17"/>
                <w:szCs w:val="17"/>
              </w:rPr>
              <w:t xml:space="preserve">Time spent by the Independent Directors in such </w:t>
            </w:r>
            <w:proofErr w:type="spellStart"/>
            <w:r w:rsidRPr="00653505">
              <w:rPr>
                <w:rFonts w:ascii="Verdana" w:hAnsi="Verdana"/>
                <w:sz w:val="17"/>
                <w:szCs w:val="17"/>
              </w:rPr>
              <w:t>programmes</w:t>
            </w:r>
            <w:proofErr w:type="spellEnd"/>
            <w:r w:rsidRPr="00653505">
              <w:rPr>
                <w:rFonts w:ascii="Verdana" w:hAnsi="Verdana"/>
                <w:sz w:val="17"/>
                <w:szCs w:val="17"/>
              </w:rPr>
              <w:t xml:space="preserve"> in aggregate.</w:t>
            </w:r>
          </w:p>
        </w:tc>
        <w:tc>
          <w:tcPr>
            <w:tcW w:w="3192" w:type="dxa"/>
          </w:tcPr>
          <w:p w:rsidR="00034308" w:rsidRPr="00653505" w:rsidRDefault="00C74DCE" w:rsidP="003306D8">
            <w:pPr>
              <w:jc w:val="both"/>
              <w:rPr>
                <w:rFonts w:ascii="Verdana" w:hAnsi="Verdana"/>
                <w:sz w:val="17"/>
                <w:szCs w:val="17"/>
              </w:rPr>
            </w:pPr>
            <w:r>
              <w:rPr>
                <w:rFonts w:ascii="Verdana" w:hAnsi="Verdana"/>
                <w:sz w:val="17"/>
                <w:szCs w:val="17"/>
              </w:rPr>
              <w:t>4</w:t>
            </w:r>
            <w:r w:rsidR="00034308" w:rsidRPr="00653505">
              <w:rPr>
                <w:rFonts w:ascii="Verdana" w:hAnsi="Verdana"/>
                <w:sz w:val="17"/>
                <w:szCs w:val="17"/>
              </w:rPr>
              <w:t xml:space="preserve"> Man Hours</w:t>
            </w:r>
          </w:p>
        </w:tc>
        <w:tc>
          <w:tcPr>
            <w:tcW w:w="3192" w:type="dxa"/>
          </w:tcPr>
          <w:p w:rsidR="00034308" w:rsidRPr="00653505" w:rsidRDefault="00C74DCE" w:rsidP="003306D8">
            <w:pPr>
              <w:jc w:val="both"/>
              <w:rPr>
                <w:rFonts w:ascii="Verdana" w:hAnsi="Verdana"/>
                <w:sz w:val="17"/>
                <w:szCs w:val="17"/>
              </w:rPr>
            </w:pPr>
            <w:r>
              <w:rPr>
                <w:rFonts w:ascii="Verdana" w:hAnsi="Verdana"/>
                <w:sz w:val="17"/>
                <w:szCs w:val="17"/>
              </w:rPr>
              <w:t>14</w:t>
            </w:r>
            <w:r w:rsidR="00034308" w:rsidRPr="00653505">
              <w:rPr>
                <w:rFonts w:ascii="Verdana" w:hAnsi="Verdana"/>
                <w:sz w:val="17"/>
                <w:szCs w:val="17"/>
              </w:rPr>
              <w:t>.25 Man Hours</w:t>
            </w:r>
          </w:p>
        </w:tc>
      </w:tr>
    </w:tbl>
    <w:p w:rsidR="00181CE0" w:rsidRPr="00653505" w:rsidRDefault="00181CE0" w:rsidP="003306D8">
      <w:pPr>
        <w:jc w:val="both"/>
        <w:rPr>
          <w:rFonts w:ascii="Verdana" w:hAnsi="Verdana"/>
          <w:sz w:val="17"/>
          <w:szCs w:val="17"/>
        </w:rPr>
      </w:pPr>
    </w:p>
    <w:p w:rsidR="00743468" w:rsidRPr="00653505" w:rsidRDefault="006266E9" w:rsidP="003306D8">
      <w:pPr>
        <w:jc w:val="both"/>
        <w:rPr>
          <w:rFonts w:ascii="Verdana" w:hAnsi="Verdana"/>
          <w:sz w:val="17"/>
          <w:szCs w:val="17"/>
        </w:rPr>
      </w:pPr>
      <w:r>
        <w:rPr>
          <w:rFonts w:ascii="Verdana" w:hAnsi="Verdana"/>
          <w:sz w:val="17"/>
          <w:szCs w:val="17"/>
        </w:rPr>
        <w:t xml:space="preserve">                                             --</w:t>
      </w:r>
      <w:r w:rsidR="00393742" w:rsidRPr="00653505">
        <w:rPr>
          <w:rFonts w:ascii="Verdana" w:hAnsi="Verdana"/>
          <w:sz w:val="17"/>
          <w:szCs w:val="17"/>
        </w:rPr>
        <w:t>------------------</w:t>
      </w:r>
      <w:proofErr w:type="spellStart"/>
      <w:proofErr w:type="gramStart"/>
      <w:r>
        <w:rPr>
          <w:rFonts w:ascii="Verdana" w:hAnsi="Verdana"/>
          <w:sz w:val="17"/>
          <w:szCs w:val="17"/>
        </w:rPr>
        <w:t>xxxxxxx</w:t>
      </w:r>
      <w:proofErr w:type="spellEnd"/>
      <w:proofErr w:type="gramEnd"/>
      <w:r w:rsidR="00393742" w:rsidRPr="00653505">
        <w:rPr>
          <w:rFonts w:ascii="Verdana" w:hAnsi="Verdana"/>
          <w:sz w:val="17"/>
          <w:szCs w:val="17"/>
        </w:rPr>
        <w:t>------------------------------</w:t>
      </w:r>
    </w:p>
    <w:sectPr w:rsidR="00743468" w:rsidRPr="00653505" w:rsidSect="00210C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93742"/>
    <w:rsid w:val="00034308"/>
    <w:rsid w:val="00181CE0"/>
    <w:rsid w:val="001A3F33"/>
    <w:rsid w:val="00210C50"/>
    <w:rsid w:val="003306D8"/>
    <w:rsid w:val="00393742"/>
    <w:rsid w:val="00484AED"/>
    <w:rsid w:val="005A4970"/>
    <w:rsid w:val="006266E9"/>
    <w:rsid w:val="00653505"/>
    <w:rsid w:val="006D55D5"/>
    <w:rsid w:val="00743468"/>
    <w:rsid w:val="00970D69"/>
    <w:rsid w:val="009A5FDA"/>
    <w:rsid w:val="00A420F7"/>
    <w:rsid w:val="00BC075D"/>
    <w:rsid w:val="00C74DCE"/>
    <w:rsid w:val="00D200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C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43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430</Words>
  <Characters>2451</Characters>
  <Application>Microsoft Office Word</Application>
  <DocSecurity>0</DocSecurity>
  <Lines>20</Lines>
  <Paragraphs>5</Paragraphs>
  <ScaleCrop>false</ScaleCrop>
  <Company/>
  <LinksUpToDate>false</LinksUpToDate>
  <CharactersWithSpaces>2876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Navneet kaur</dc:creator>
  <cp:lastModifiedBy>Navneet kaur</cp:lastModifiedBy>
  <cp:revision>2</cp:revision>
  <dcterms:created xsi:type="dcterms:W3CDTF">2020-09-02T20:45:00Z</dcterms:created>
  <dcterms:modified xsi:type="dcterms:W3CDTF">2020-09-02T20:45:00Z</dcterms:modified>
</cp:coreProperties>
</file>